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428625" cy="5334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28625" cy="533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СЕРТОЛОВСКОЕ ГОРОДСКОЕ ПОСЕЛЕНИЕ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ВСЕВОЛОЖСКОГО МУНИЦИПАЛЬНОГО РАЙОНА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ЛЕНИНГРАДСКОЙ ОБЛАСТИ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АДМИНИСТРАЦИЯ</w:t>
      </w: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0D000000">
      <w:pPr>
        <w:rPr>
          <w:sz w:val="28"/>
        </w:rPr>
      </w:pPr>
    </w:p>
    <w:p w14:paraId="0E000000">
      <w:pPr>
        <w:rPr>
          <w:sz w:val="28"/>
          <w:u w:val="single"/>
        </w:rPr>
      </w:pPr>
      <w:r>
        <w:rPr>
          <w:sz w:val="28"/>
          <w:u w:val="single"/>
        </w:rPr>
        <w:t>28.12.2024г.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№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>1290</w:t>
      </w:r>
    </w:p>
    <w:p w14:paraId="0F000000">
      <w:pPr>
        <w:rPr>
          <w:sz w:val="20"/>
        </w:rPr>
      </w:pPr>
      <w:r>
        <w:rPr>
          <w:sz w:val="20"/>
        </w:rPr>
        <w:t>г. Сертолово</w:t>
      </w:r>
    </w:p>
    <w:p w14:paraId="10000000"/>
    <w:p w14:paraId="11000000">
      <w:pPr>
        <w:rPr>
          <w:b w:val="1"/>
          <w:sz w:val="28"/>
        </w:rPr>
      </w:pPr>
      <w:r>
        <w:rPr>
          <w:b w:val="1"/>
          <w:sz w:val="28"/>
        </w:rPr>
        <w:t>О внесении изменений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 xml:space="preserve">в </w:t>
      </w:r>
      <w:r>
        <w:rPr>
          <w:b w:val="1"/>
          <w:sz w:val="28"/>
        </w:rPr>
        <w:t>муниципальную программу МО Сертолово</w:t>
      </w:r>
    </w:p>
    <w:p w14:paraId="13000000">
      <w:pPr>
        <w:rPr>
          <w:b w:val="1"/>
          <w:sz w:val="28"/>
        </w:rPr>
      </w:pPr>
      <w:r>
        <w:rPr>
          <w:b w:val="1"/>
          <w:sz w:val="28"/>
        </w:rPr>
        <w:t>«Развитие малого и среднего предпринимательства</w:t>
      </w:r>
    </w:p>
    <w:p w14:paraId="14000000">
      <w:pPr>
        <w:rPr>
          <w:b w:val="1"/>
          <w:sz w:val="28"/>
        </w:rPr>
      </w:pPr>
      <w:r>
        <w:rPr>
          <w:b w:val="1"/>
          <w:sz w:val="28"/>
        </w:rPr>
        <w:t>в МО  Сертолово» на 2020-2024 годы</w:t>
      </w:r>
    </w:p>
    <w:p w14:paraId="15000000">
      <w:pPr>
        <w:ind w:firstLine="709" w:left="0"/>
        <w:jc w:val="both"/>
      </w:pPr>
    </w:p>
    <w:p w14:paraId="1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Устава МО Сертолово, постановления администрации МО Сертолово от 27.06.2011 г. №33 «Об утверждении Положения об администрации муниципального образования Сертолово Всеволожского муниципального района Ленинградской области», </w:t>
      </w:r>
      <w:r>
        <w:rPr>
          <w:rFonts w:ascii="Times New Roman" w:hAnsi="Times New Roman"/>
          <w:sz w:val="28"/>
        </w:rPr>
        <w:t xml:space="preserve">в соответствии с абзацами2 и 4 п.5.7.1. Порядка, утвержденного постановлением администрации МО Сертолово от 22.10.2013 г. №425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области» </w:t>
      </w:r>
      <w:r>
        <w:rPr>
          <w:rFonts w:ascii="Times New Roman" w:hAnsi="Times New Roman"/>
          <w:sz w:val="28"/>
        </w:rPr>
        <w:t xml:space="preserve">в связи с оргштатными мероприятиями, администрация МО Сертолово  </w:t>
      </w:r>
    </w:p>
    <w:p w14:paraId="17000000">
      <w:pPr>
        <w:ind/>
        <w:jc w:val="both"/>
      </w:pPr>
    </w:p>
    <w:p w14:paraId="18000000">
      <w:pPr>
        <w:ind/>
        <w:jc w:val="center"/>
        <w:rPr>
          <w:sz w:val="28"/>
        </w:rPr>
      </w:pPr>
      <w:r>
        <w:rPr>
          <w:sz w:val="28"/>
        </w:rPr>
        <w:t>ПОСТАНОВЛЯЕТ:</w:t>
      </w:r>
    </w:p>
    <w:p w14:paraId="19000000">
      <w:pPr>
        <w:ind/>
        <w:jc w:val="center"/>
        <w:rPr>
          <w:sz w:val="28"/>
        </w:rPr>
      </w:pPr>
    </w:p>
    <w:p w14:paraId="1A000000">
      <w:pPr>
        <w:pStyle w:val="Style_3"/>
        <w:ind w:hanging="360" w:left="0"/>
        <w:jc w:val="both"/>
        <w:rPr>
          <w:sz w:val="28"/>
        </w:rPr>
      </w:pPr>
      <w:r>
        <w:rPr>
          <w:sz w:val="28"/>
        </w:rPr>
        <w:t xml:space="preserve">     1. Внести в муниципальную программу МО Сертолово «Развитие малого и среднего предпринимательства в МО Сертолово» на 2020-2024 годы, утвержденную постановлением администрации МО Сертолово от 24.10.2019 №917 ( </w:t>
      </w:r>
      <w:r>
        <w:rPr>
          <w:rFonts w:ascii="Times New Roman" w:hAnsi="Times New Roman"/>
          <w:smallCaps w:val="1"/>
        </w:rPr>
        <w:t xml:space="preserve"> </w:t>
      </w:r>
      <w:r>
        <w:rPr>
          <w:rFonts w:ascii="Times New Roman" w:hAnsi="Times New Roman"/>
          <w:sz w:val="28"/>
        </w:rPr>
        <w:t>в ред. от 10.02.2020г. №82,</w:t>
      </w:r>
      <w:r>
        <w:rPr>
          <w:rFonts w:ascii="Times New Roman" w:hAnsi="Times New Roman"/>
          <w:sz w:val="28"/>
        </w:rPr>
        <w:t>от 02.05.2023г. №412)</w:t>
      </w:r>
      <w:r>
        <w:rPr>
          <w:sz w:val="28"/>
        </w:rPr>
        <w:t xml:space="preserve"> следующие изменения:</w:t>
      </w:r>
    </w:p>
    <w:p w14:paraId="1B000000">
      <w:pPr>
        <w:pStyle w:val="Style_3"/>
        <w:ind w:firstLine="283" w:left="0"/>
        <w:jc w:val="both"/>
        <w:rPr>
          <w:sz w:val="28"/>
        </w:rPr>
      </w:pPr>
      <w:r>
        <w:rPr>
          <w:sz w:val="28"/>
        </w:rPr>
        <w:t>1.1. На</w:t>
      </w:r>
      <w:r>
        <w:rPr>
          <w:sz w:val="28"/>
        </w:rPr>
        <w:t xml:space="preserve"> титульном листе Программы слова  «Заместитель главы администрации МО Сертолово по безопасности С.А.Белобоков» заменить словами «</w:t>
      </w:r>
      <w:r>
        <w:rPr>
          <w:sz w:val="28"/>
        </w:rPr>
        <w:t>Заместитель главы администрации МО Сертолово по безопасности О.В. Лещев</w:t>
      </w:r>
      <w:r>
        <w:rPr>
          <w:sz w:val="28"/>
        </w:rPr>
        <w:t>»;</w:t>
      </w:r>
    </w:p>
    <w:p w14:paraId="1C000000">
      <w:pPr>
        <w:pStyle w:val="Style_3"/>
        <w:ind w:firstLine="0" w:left="142"/>
        <w:jc w:val="both"/>
        <w:rPr>
          <w:sz w:val="28"/>
        </w:rPr>
      </w:pPr>
      <w:r>
        <w:rPr>
          <w:sz w:val="28"/>
        </w:rPr>
        <w:t xml:space="preserve">  1.2. В </w:t>
      </w:r>
      <w:r>
        <w:rPr>
          <w:sz w:val="28"/>
        </w:rPr>
        <w:t>Паспорте Программы:</w:t>
      </w:r>
    </w:p>
    <w:p w14:paraId="1D000000">
      <w:pPr>
        <w:pStyle w:val="Style_3"/>
        <w:ind w:firstLine="0" w:left="142"/>
        <w:jc w:val="both"/>
        <w:rPr>
          <w:sz w:val="28"/>
        </w:rPr>
      </w:pPr>
      <w:r>
        <w:rPr>
          <w:sz w:val="28"/>
        </w:rPr>
        <w:t xml:space="preserve"> 1.2.1. в позиции «Целевые показатели программы» цифру «50%» заменить цифрой «10%», цифру «16%» заменить цифрой «17%»;</w:t>
      </w:r>
    </w:p>
    <w:p w14:paraId="1E000000">
      <w:pPr>
        <w:pStyle w:val="Style_3"/>
        <w:ind w:firstLine="0" w:left="142"/>
        <w:jc w:val="both"/>
        <w:rPr>
          <w:sz w:val="28"/>
        </w:rPr>
      </w:pPr>
      <w:r>
        <w:rPr>
          <w:sz w:val="28"/>
        </w:rPr>
        <w:t>1.2.2. в позиции «Руководитель программы» слова «</w:t>
      </w:r>
      <w:r>
        <w:rPr>
          <w:sz w:val="28"/>
        </w:rPr>
        <w:t>Заместитель главы администрации МО Сертолово по безопасности С.А.Белобоков» заменить словами</w:t>
      </w:r>
      <w:r>
        <w:rPr>
          <w:sz w:val="28"/>
        </w:rPr>
        <w:t xml:space="preserve">  «З</w:t>
      </w:r>
      <w:r>
        <w:rPr>
          <w:sz w:val="28"/>
        </w:rPr>
        <w:t>аместитель главы администрации МО Сертолово по безопасности               О.В. Лещев</w:t>
      </w:r>
      <w:r>
        <w:rPr>
          <w:sz w:val="28"/>
        </w:rPr>
        <w:t>».</w:t>
      </w:r>
    </w:p>
    <w:p w14:paraId="1F000000">
      <w:pPr>
        <w:pStyle w:val="Style_3"/>
        <w:ind w:firstLine="0" w:left="-567"/>
        <w:jc w:val="both"/>
        <w:rPr>
          <w:sz w:val="28"/>
        </w:rPr>
      </w:pPr>
      <w:r>
        <w:rPr>
          <w:sz w:val="28"/>
        </w:rPr>
        <w:t xml:space="preserve">          1.</w:t>
      </w: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>В содержательной части Программы:</w:t>
      </w:r>
    </w:p>
    <w:p w14:paraId="20000000">
      <w:pPr>
        <w:ind w:hanging="143" w:left="285"/>
        <w:jc w:val="both"/>
        <w:rPr>
          <w:sz w:val="28"/>
        </w:rPr>
      </w:pPr>
      <w:r>
        <w:rPr>
          <w:sz w:val="28"/>
        </w:rPr>
        <w:t>1.3.1. Раздел 5 «Ожидаемые(конечные) результаты Программы» изложить в следующей редакции:</w:t>
      </w:r>
    </w:p>
    <w:p w14:paraId="21000000">
      <w:pPr>
        <w:ind w:hanging="143" w:left="285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В ходе реализации Программы предполагается достичь следующих результатов:</w:t>
      </w:r>
    </w:p>
    <w:p w14:paraId="22000000">
      <w:pPr>
        <w:ind w:hanging="143" w:left="285"/>
        <w:jc w:val="both"/>
        <w:rPr>
          <w:sz w:val="28"/>
        </w:rPr>
      </w:pPr>
      <w:r>
        <w:rPr>
          <w:sz w:val="28"/>
        </w:rPr>
        <w:t>- повышение интереса к предпринимательской деятельности;</w:t>
      </w:r>
    </w:p>
    <w:p w14:paraId="23000000">
      <w:pPr>
        <w:ind w:hanging="143" w:left="285"/>
        <w:jc w:val="both"/>
        <w:rPr>
          <w:sz w:val="28"/>
        </w:rPr>
      </w:pPr>
      <w:r>
        <w:rPr>
          <w:sz w:val="28"/>
        </w:rPr>
        <w:t xml:space="preserve">- повышение </w:t>
      </w:r>
      <w:r>
        <w:rPr>
          <w:sz w:val="28"/>
        </w:rPr>
        <w:t>правового</w:t>
      </w:r>
      <w:r>
        <w:rPr>
          <w:sz w:val="28"/>
        </w:rPr>
        <w:t xml:space="preserve"> </w:t>
      </w:r>
      <w:r>
        <w:rPr>
          <w:sz w:val="28"/>
        </w:rPr>
        <w:t>уровня знаний предпринимателей;</w:t>
      </w:r>
    </w:p>
    <w:p w14:paraId="24000000">
      <w:pPr>
        <w:ind w:hanging="143" w:left="285"/>
        <w:jc w:val="both"/>
        <w:rPr>
          <w:sz w:val="28"/>
        </w:rPr>
      </w:pPr>
      <w:r>
        <w:rPr>
          <w:sz w:val="28"/>
        </w:rPr>
        <w:t>- повышение социальной ответственности малого и среднего предпринимательства.</w:t>
      </w:r>
    </w:p>
    <w:p w14:paraId="25000000">
      <w:pPr>
        <w:tabs>
          <w:tab w:leader="none" w:pos="255" w:val="left"/>
        </w:tabs>
        <w:ind/>
        <w:rPr>
          <w:sz w:val="28"/>
        </w:rPr>
      </w:pPr>
      <w:r>
        <w:rPr>
          <w:sz w:val="28"/>
        </w:rPr>
        <w:t>Важнейшие целевые показатели программы:</w:t>
      </w:r>
    </w:p>
    <w:tbl>
      <w:tblPr>
        <w:tblStyle w:val="Style_4"/>
        <w:tblLayout w:type="fixed"/>
      </w:tblPr>
      <w:tblGrid>
        <w:gridCol w:w="732"/>
        <w:gridCol w:w="2726"/>
        <w:gridCol w:w="1073"/>
        <w:gridCol w:w="1134"/>
        <w:gridCol w:w="709"/>
        <w:gridCol w:w="709"/>
        <w:gridCol w:w="709"/>
        <w:gridCol w:w="850"/>
        <w:gridCol w:w="703"/>
      </w:tblGrid>
      <w:tr>
        <w:trPr>
          <w:trHeight w:hRule="atLeast" w:val="405"/>
        </w:trPr>
        <w:tc>
          <w:tcPr>
            <w:tcW w:type="dxa" w:w="732"/>
            <w:vMerge w:val="restart"/>
          </w:tcPr>
          <w:p w14:paraId="26000000">
            <w:pPr>
              <w:tabs>
                <w:tab w:leader="none" w:pos="255" w:val="left"/>
              </w:tabs>
              <w:ind/>
            </w:pPr>
            <w:r>
              <w:t>№п/п</w:t>
            </w:r>
          </w:p>
        </w:tc>
        <w:tc>
          <w:tcPr>
            <w:tcW w:type="dxa" w:w="2726"/>
            <w:vMerge w:val="restart"/>
          </w:tcPr>
          <w:p w14:paraId="27000000">
            <w:pPr>
              <w:tabs>
                <w:tab w:leader="none" w:pos="255" w:val="left"/>
              </w:tabs>
              <w:ind/>
            </w:pPr>
            <w:r>
              <w:t xml:space="preserve">Наименование </w:t>
            </w:r>
            <w:bookmarkStart w:id="1" w:name="_GoBack"/>
            <w:bookmarkEnd w:id="1"/>
            <w:r>
              <w:t>целевого показателя</w:t>
            </w:r>
          </w:p>
        </w:tc>
        <w:tc>
          <w:tcPr>
            <w:tcW w:type="dxa" w:w="1073"/>
          </w:tcPr>
          <w:p w14:paraId="28000000">
            <w:pPr>
              <w:tabs>
                <w:tab w:leader="none" w:pos="255" w:val="left"/>
              </w:tabs>
              <w:ind/>
            </w:pPr>
            <w:r>
              <w:t>Ед. измерения</w:t>
            </w:r>
          </w:p>
        </w:tc>
        <w:tc>
          <w:tcPr>
            <w:tcW w:type="dxa" w:w="4814"/>
            <w:gridSpan w:val="6"/>
          </w:tcPr>
          <w:p w14:paraId="29000000">
            <w:pPr>
              <w:tabs>
                <w:tab w:leader="none" w:pos="255" w:val="left"/>
              </w:tabs>
              <w:ind/>
            </w:pPr>
            <w:r>
              <w:t>Значение целевого показателя</w:t>
            </w:r>
          </w:p>
        </w:tc>
      </w:tr>
      <w:tr>
        <w:trPr>
          <w:trHeight w:hRule="atLeast" w:val="478"/>
        </w:trPr>
        <w:tc>
          <w:tcPr>
            <w:tcW w:type="dxa" w:w="732"/>
            <w:gridSpan w:val="1"/>
            <w:vMerge w:val="continue"/>
          </w:tcPr>
          <w:p/>
        </w:tc>
        <w:tc>
          <w:tcPr>
            <w:tcW w:type="dxa" w:w="2726"/>
            <w:gridSpan w:val="1"/>
            <w:vMerge w:val="continue"/>
          </w:tcPr>
          <w:p/>
        </w:tc>
        <w:tc>
          <w:tcPr>
            <w:tcW w:type="dxa" w:w="1073"/>
            <w:vMerge w:val="restart"/>
          </w:tcPr>
          <w:p w14:paraId="2A000000">
            <w:pPr>
              <w:tabs>
                <w:tab w:leader="none" w:pos="255" w:val="left"/>
              </w:tabs>
              <w:ind/>
            </w:pPr>
          </w:p>
        </w:tc>
        <w:tc>
          <w:tcPr>
            <w:tcW w:type="dxa" w:w="1134"/>
            <w:vMerge w:val="restart"/>
          </w:tcPr>
          <w:p w14:paraId="2B000000">
            <w:pPr>
              <w:tabs>
                <w:tab w:leader="none" w:pos="255" w:val="left"/>
              </w:tabs>
              <w:ind/>
            </w:pPr>
            <w:r>
              <w:t>В результате реализации программы</w:t>
            </w:r>
          </w:p>
        </w:tc>
        <w:tc>
          <w:tcPr>
            <w:tcW w:type="dxa" w:w="3680"/>
            <w:gridSpan w:val="5"/>
          </w:tcPr>
          <w:p w14:paraId="2C000000">
            <w:pPr>
              <w:tabs>
                <w:tab w:leader="none" w:pos="255" w:val="left"/>
              </w:tabs>
              <w:ind/>
            </w:pPr>
            <w:r>
              <w:t>В том числе по годам:</w:t>
            </w:r>
          </w:p>
        </w:tc>
      </w:tr>
      <w:tr>
        <w:trPr>
          <w:trHeight w:hRule="atLeast" w:val="795"/>
        </w:trPr>
        <w:tc>
          <w:tcPr>
            <w:tcW w:type="dxa" w:w="732"/>
            <w:gridSpan w:val="1"/>
            <w:vMerge w:val="continue"/>
          </w:tcPr>
          <w:p/>
        </w:tc>
        <w:tc>
          <w:tcPr>
            <w:tcW w:type="dxa" w:w="2726"/>
            <w:gridSpan w:val="1"/>
            <w:vMerge w:val="continue"/>
          </w:tcPr>
          <w:p/>
        </w:tc>
        <w:tc>
          <w:tcPr>
            <w:tcW w:type="dxa" w:w="1073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709"/>
          </w:tcPr>
          <w:p w14:paraId="2D000000">
            <w:pPr>
              <w:tabs>
                <w:tab w:leader="none" w:pos="255" w:val="left"/>
              </w:tabs>
              <w:ind/>
            </w:pPr>
            <w:r>
              <w:t>2020</w:t>
            </w:r>
          </w:p>
        </w:tc>
        <w:tc>
          <w:tcPr>
            <w:tcW w:type="dxa" w:w="709"/>
          </w:tcPr>
          <w:p w14:paraId="2E000000">
            <w:pPr>
              <w:tabs>
                <w:tab w:leader="none" w:pos="255" w:val="left"/>
              </w:tabs>
              <w:ind/>
            </w:pPr>
            <w:r>
              <w:t>2021</w:t>
            </w:r>
          </w:p>
        </w:tc>
        <w:tc>
          <w:tcPr>
            <w:tcW w:type="dxa" w:w="709"/>
          </w:tcPr>
          <w:p w14:paraId="2F000000">
            <w:pPr>
              <w:tabs>
                <w:tab w:leader="none" w:pos="255" w:val="left"/>
              </w:tabs>
              <w:ind/>
            </w:pPr>
            <w:r>
              <w:t>2022</w:t>
            </w:r>
          </w:p>
        </w:tc>
        <w:tc>
          <w:tcPr>
            <w:tcW w:type="dxa" w:w="850"/>
          </w:tcPr>
          <w:p w14:paraId="30000000">
            <w:pPr>
              <w:tabs>
                <w:tab w:leader="none" w:pos="255" w:val="left"/>
              </w:tabs>
              <w:ind/>
            </w:pPr>
            <w:r>
              <w:t>2023</w:t>
            </w:r>
          </w:p>
        </w:tc>
        <w:tc>
          <w:tcPr>
            <w:tcW w:type="dxa" w:w="703"/>
          </w:tcPr>
          <w:p w14:paraId="31000000">
            <w:pPr>
              <w:tabs>
                <w:tab w:leader="none" w:pos="255" w:val="left"/>
              </w:tabs>
              <w:ind/>
            </w:pPr>
            <w:r>
              <w:t>2024</w:t>
            </w:r>
          </w:p>
        </w:tc>
      </w:tr>
      <w:tr>
        <w:tc>
          <w:tcPr>
            <w:tcW w:type="dxa" w:w="732"/>
          </w:tcPr>
          <w:p w14:paraId="32000000">
            <w:pPr>
              <w:tabs>
                <w:tab w:leader="none" w:pos="255" w:val="left"/>
              </w:tabs>
              <w:ind/>
            </w:pPr>
            <w:r>
              <w:t>1</w:t>
            </w:r>
          </w:p>
        </w:tc>
        <w:tc>
          <w:tcPr>
            <w:tcW w:type="dxa" w:w="2726"/>
          </w:tcPr>
          <w:p w14:paraId="33000000">
            <w:pPr>
              <w:tabs>
                <w:tab w:leader="none" w:pos="255" w:val="left"/>
              </w:tabs>
              <w:ind/>
            </w:pPr>
            <w:r>
              <w:t>Увеличение количества участников в конкурсах, ярмарках и т.п. разного уровня (прирост по отношению к предыдущему году)</w:t>
            </w:r>
          </w:p>
        </w:tc>
        <w:tc>
          <w:tcPr>
            <w:tcW w:type="dxa" w:w="1073"/>
          </w:tcPr>
          <w:p w14:paraId="34000000">
            <w:pPr>
              <w:tabs>
                <w:tab w:leader="none" w:pos="255" w:val="left"/>
              </w:tabs>
              <w:ind/>
              <w:jc w:val="center"/>
            </w:pPr>
            <w:r>
              <w:t>%</w:t>
            </w:r>
          </w:p>
        </w:tc>
        <w:tc>
          <w:tcPr>
            <w:tcW w:type="dxa" w:w="1134"/>
          </w:tcPr>
          <w:p w14:paraId="35000000">
            <w:pPr>
              <w:tabs>
                <w:tab w:leader="none" w:pos="255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709"/>
          </w:tcPr>
          <w:p w14:paraId="36000000">
            <w:pPr>
              <w:tabs>
                <w:tab w:leader="none" w:pos="255" w:val="left"/>
              </w:tabs>
              <w:ind/>
            </w:pPr>
            <w:r>
              <w:t>0</w:t>
            </w:r>
          </w:p>
        </w:tc>
        <w:tc>
          <w:tcPr>
            <w:tcW w:type="dxa" w:w="709"/>
          </w:tcPr>
          <w:p w14:paraId="37000000">
            <w:pPr>
              <w:tabs>
                <w:tab w:leader="none" w:pos="255" w:val="left"/>
              </w:tabs>
              <w:ind/>
            </w:pPr>
            <w:r>
              <w:t>0</w:t>
            </w:r>
          </w:p>
        </w:tc>
        <w:tc>
          <w:tcPr>
            <w:tcW w:type="dxa" w:w="709"/>
          </w:tcPr>
          <w:p w14:paraId="38000000">
            <w:pPr>
              <w:tabs>
                <w:tab w:leader="none" w:pos="255" w:val="left"/>
              </w:tabs>
              <w:ind/>
            </w:pPr>
            <w:r>
              <w:t>0</w:t>
            </w:r>
          </w:p>
        </w:tc>
        <w:tc>
          <w:tcPr>
            <w:tcW w:type="dxa" w:w="850"/>
          </w:tcPr>
          <w:p w14:paraId="39000000">
            <w:pPr>
              <w:tabs>
                <w:tab w:leader="none" w:pos="255" w:val="left"/>
              </w:tabs>
              <w:ind/>
            </w:pPr>
            <w:r>
              <w:t>-10%</w:t>
            </w:r>
          </w:p>
        </w:tc>
        <w:tc>
          <w:tcPr>
            <w:tcW w:type="dxa" w:w="703"/>
          </w:tcPr>
          <w:p w14:paraId="3A000000">
            <w:pPr>
              <w:tabs>
                <w:tab w:leader="none" w:pos="255" w:val="left"/>
              </w:tabs>
              <w:ind/>
            </w:pPr>
            <w:r>
              <w:t>22%</w:t>
            </w:r>
          </w:p>
        </w:tc>
      </w:tr>
      <w:tr>
        <w:trPr>
          <w:trHeight w:hRule="atLeast" w:val="1671"/>
        </w:trPr>
        <w:tc>
          <w:tcPr>
            <w:tcW w:type="dxa" w:w="732"/>
          </w:tcPr>
          <w:p w14:paraId="3B000000">
            <w:pPr>
              <w:tabs>
                <w:tab w:leader="none" w:pos="255" w:val="left"/>
              </w:tabs>
              <w:ind/>
            </w:pPr>
            <w:r>
              <w:t>2</w:t>
            </w:r>
          </w:p>
        </w:tc>
        <w:tc>
          <w:tcPr>
            <w:tcW w:type="dxa" w:w="2726"/>
          </w:tcPr>
          <w:p w14:paraId="3C000000">
            <w:pPr>
              <w:tabs>
                <w:tab w:leader="none" w:pos="255" w:val="left"/>
              </w:tabs>
              <w:ind/>
            </w:pPr>
            <w:r>
              <w:t>Увеличение количества субъектов малого и среднего предпринимательства, получивших консультацию (прирост к предыдущему году)</w:t>
            </w:r>
          </w:p>
        </w:tc>
        <w:tc>
          <w:tcPr>
            <w:tcW w:type="dxa" w:w="1073"/>
          </w:tcPr>
          <w:p w14:paraId="3D000000">
            <w:pPr>
              <w:tabs>
                <w:tab w:leader="none" w:pos="255" w:val="left"/>
              </w:tabs>
              <w:ind/>
              <w:jc w:val="center"/>
            </w:pPr>
            <w:r>
              <w:t>%</w:t>
            </w:r>
          </w:p>
        </w:tc>
        <w:tc>
          <w:tcPr>
            <w:tcW w:type="dxa" w:w="1134"/>
          </w:tcPr>
          <w:p w14:paraId="3E000000">
            <w:pPr>
              <w:tabs>
                <w:tab w:leader="none" w:pos="255" w:val="left"/>
              </w:tabs>
              <w:ind/>
              <w:jc w:val="center"/>
            </w:pPr>
            <w:r>
              <w:t>17</w:t>
            </w:r>
          </w:p>
        </w:tc>
        <w:tc>
          <w:tcPr>
            <w:tcW w:type="dxa" w:w="709"/>
          </w:tcPr>
          <w:p w14:paraId="3F000000">
            <w:pPr>
              <w:tabs>
                <w:tab w:leader="none" w:pos="255" w:val="left"/>
              </w:tabs>
              <w:ind/>
            </w:pPr>
            <w:r>
              <w:t>3,4</w:t>
            </w:r>
          </w:p>
        </w:tc>
        <w:tc>
          <w:tcPr>
            <w:tcW w:type="dxa" w:w="709"/>
          </w:tcPr>
          <w:p w14:paraId="40000000">
            <w:pPr>
              <w:tabs>
                <w:tab w:leader="none" w:pos="255" w:val="left"/>
              </w:tabs>
              <w:ind/>
            </w:pPr>
            <w:r>
              <w:t>3,3</w:t>
            </w:r>
          </w:p>
        </w:tc>
        <w:tc>
          <w:tcPr>
            <w:tcW w:type="dxa" w:w="709"/>
          </w:tcPr>
          <w:p w14:paraId="41000000">
            <w:pPr>
              <w:tabs>
                <w:tab w:leader="none" w:pos="255" w:val="left"/>
              </w:tabs>
              <w:ind/>
            </w:pPr>
            <w:r>
              <w:t>3,2</w:t>
            </w:r>
          </w:p>
        </w:tc>
        <w:tc>
          <w:tcPr>
            <w:tcW w:type="dxa" w:w="850"/>
          </w:tcPr>
          <w:p w14:paraId="42000000">
            <w:pPr>
              <w:tabs>
                <w:tab w:leader="none" w:pos="255" w:val="left"/>
              </w:tabs>
              <w:ind/>
            </w:pPr>
            <w:r>
              <w:t>3,1</w:t>
            </w:r>
          </w:p>
        </w:tc>
        <w:tc>
          <w:tcPr>
            <w:tcW w:type="dxa" w:w="703"/>
          </w:tcPr>
          <w:p w14:paraId="43000000">
            <w:pPr>
              <w:tabs>
                <w:tab w:leader="none" w:pos="255" w:val="left"/>
              </w:tabs>
              <w:ind/>
            </w:pPr>
            <w:r>
              <w:t>2,9</w:t>
            </w:r>
          </w:p>
        </w:tc>
      </w:tr>
    </w:tbl>
    <w:p w14:paraId="44000000">
      <w:pPr>
        <w:tabs>
          <w:tab w:leader="none" w:pos="255" w:val="left"/>
        </w:tabs>
        <w:ind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Перечень планируемых результатов реализации Програм</w:t>
      </w:r>
      <w:r>
        <w:rPr>
          <w:rFonts w:ascii="Times New Roman" w:hAnsi="Times New Roman"/>
          <w:sz w:val="28"/>
        </w:rPr>
        <w:t>мы приведен в П</w:t>
      </w:r>
      <w:r>
        <w:rPr>
          <w:rFonts w:ascii="Times New Roman" w:hAnsi="Times New Roman"/>
          <w:sz w:val="28"/>
        </w:rPr>
        <w:t xml:space="preserve">риложении  №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Программе».</w:t>
      </w:r>
    </w:p>
    <w:p w14:paraId="45000000">
      <w:pPr>
        <w:ind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sz w:val="28"/>
        </w:rPr>
        <w:t xml:space="preserve"> 2. Приложение №1 к Программе «Перечень планируемых результатов реализации муниципальной программы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малого и среднего предпринимательства в</w:t>
      </w:r>
      <w:r>
        <w:rPr>
          <w:rFonts w:ascii="Times New Roman" w:hAnsi="Times New Roman"/>
          <w:b w:val="0"/>
          <w:sz w:val="28"/>
        </w:rPr>
        <w:t xml:space="preserve"> МО Сертолово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годы» изложить в редакции </w:t>
      </w:r>
      <w:r>
        <w:rPr>
          <w:rFonts w:ascii="Times New Roman" w:hAnsi="Times New Roman"/>
          <w:b w:val="0"/>
          <w:sz w:val="28"/>
          <w:u w:val="none"/>
        </w:rPr>
        <w:t>согласно Приложению  к настоящему постановлению.</w:t>
      </w:r>
    </w:p>
    <w:p w14:paraId="46000000">
      <w:pPr>
        <w:ind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sz w:val="28"/>
        </w:rPr>
        <w:t xml:space="preserve"> 3. </w:t>
      </w:r>
      <w:r>
        <w:rPr>
          <w:sz w:val="28"/>
        </w:rPr>
        <w:t>Настоящее постановление вступает в силу после официального опубликования (обнародования) на официальном сайте администрации МО Сертолово в информационно - телекоммуникационной сети «Интернет».</w:t>
      </w:r>
    </w:p>
    <w:p w14:paraId="47000000">
      <w:pPr>
        <w:ind/>
        <w:jc w:val="both"/>
        <w:rPr>
          <w:sz w:val="28"/>
        </w:rPr>
      </w:pPr>
      <w:r>
        <w:rPr>
          <w:sz w:val="28"/>
        </w:rPr>
        <w:t xml:space="preserve">    4. </w:t>
      </w:r>
      <w:r>
        <w:rPr>
          <w:color w:val="191919"/>
          <w:sz w:val="28"/>
        </w:rPr>
        <w:t>Контроль за исполнением настоящего постановления оставляю за собой.</w:t>
      </w:r>
    </w:p>
    <w:p w14:paraId="48000000">
      <w:pPr>
        <w:ind/>
        <w:jc w:val="both"/>
        <w:rPr>
          <w:sz w:val="28"/>
        </w:rPr>
      </w:pPr>
    </w:p>
    <w:p w14:paraId="49000000">
      <w:pPr>
        <w:ind w:firstLine="709" w:left="0"/>
        <w:jc w:val="both"/>
      </w:pPr>
    </w:p>
    <w:p w14:paraId="4A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 xml:space="preserve">       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В.В. Василенко</w:t>
      </w:r>
    </w:p>
    <w:sectPr>
      <w:headerReference r:id="rId1" w:type="default"/>
      <w:pgSz w:h="16848" w:orient="portrait" w:w="11908"/>
      <w:pgMar w:bottom="1134" w:footer="708" w:gutter="0" w:header="708" w:left="1276" w:right="850" w:top="14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" w:type="paragraph">
    <w:name w:val="Preformat"/>
    <w:link w:val="Style_2_ch"/>
    <w:pPr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Preformat"/>
    <w:link w:val="Style_2"/>
    <w:rPr>
      <w:rFonts w:ascii="Courier New" w:hAnsi="Courier New"/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4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2024-12-28T05:54:37Z</dcterms:modified>
</cp:coreProperties>
</file>